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24A4" w:rsidRDefault="00E324A4" w:rsidP="00B95253">
      <w:r>
        <w:t>Harvard Referencing Style:</w:t>
      </w:r>
    </w:p>
    <w:p w:rsidR="00E324A4" w:rsidRDefault="00E324A4" w:rsidP="00B95253">
      <w:r>
        <w:t>Why i</w:t>
      </w:r>
      <w:r w:rsidR="00C77054">
        <w:t>t is important?</w:t>
      </w:r>
      <w:r>
        <w:t xml:space="preserve"> The objectives of your response</w:t>
      </w:r>
      <w:r w:rsidR="00C77054">
        <w:t>s</w:t>
      </w:r>
      <w:r>
        <w:t xml:space="preserve"> </w:t>
      </w:r>
      <w:r w:rsidR="00C77054">
        <w:t>are</w:t>
      </w:r>
      <w:r>
        <w:t xml:space="preserve"> to demonstrate your knowledge and understanding of the topic/s. Knowledge is demonstrated by the theoretical research activity that you have conducted. This should then be presented by Harvard Referencing style which is aligned the CMI’s requirements. Your understanding is demonstrated by the application of this knowledge. Essentially, what will you</w:t>
      </w:r>
      <w:r w:rsidR="00C77054">
        <w:t xml:space="preserve"> do </w:t>
      </w:r>
      <w:r>
        <w:t>/</w:t>
      </w:r>
      <w:r w:rsidR="00C77054">
        <w:t xml:space="preserve"> </w:t>
      </w:r>
      <w:r>
        <w:t xml:space="preserve">have you done with it. </w:t>
      </w:r>
    </w:p>
    <w:p w:rsidR="00E324A4" w:rsidRDefault="00E324A4" w:rsidP="00B95253">
      <w:r>
        <w:t xml:space="preserve">The referencing needs to be consistent which is why Harvard Referencing style is the preferred option of the CMI. Referencing adds depth to your shared opinion, experiences and examples/scenarios. Without this your response will read as a bias of your own opinion without depth and place your responses into question. </w:t>
      </w:r>
    </w:p>
    <w:p w:rsidR="00E324A4" w:rsidRDefault="00E324A4" w:rsidP="00B95253">
      <w:r>
        <w:t xml:space="preserve">Bibliography should be presented in alphabetical order. There isn’t a need for the list to be broken down by resource list </w:t>
      </w:r>
      <w:proofErr w:type="spellStart"/>
      <w:r>
        <w:t>ie</w:t>
      </w:r>
      <w:proofErr w:type="spellEnd"/>
      <w:r>
        <w:t xml:space="preserve"> Books, Journals, Websites. If the reader would like to check your reference </w:t>
      </w:r>
      <w:r w:rsidR="0094625E">
        <w:t xml:space="preserve">source </w:t>
      </w:r>
      <w:r>
        <w:t xml:space="preserve">they will look for the name </w:t>
      </w:r>
      <w:proofErr w:type="spellStart"/>
      <w:r>
        <w:t>ie</w:t>
      </w:r>
      <w:proofErr w:type="spellEnd"/>
      <w:r>
        <w:t xml:space="preserve"> </w:t>
      </w:r>
      <w:r w:rsidR="0094625E">
        <w:t>‘</w:t>
      </w:r>
      <w:r>
        <w:t>Rothwell et al</w:t>
      </w:r>
      <w:r w:rsidR="0094625E">
        <w:t>’</w:t>
      </w:r>
      <w:r>
        <w:t xml:space="preserve"> rather than determine if it’s a book, journal etc.</w:t>
      </w:r>
    </w:p>
    <w:p w:rsidR="00E324A4" w:rsidRDefault="00E324A4" w:rsidP="00B95253">
      <w:r>
        <w:t xml:space="preserve">In-situ referencing. This is important as it demonstrates within your </w:t>
      </w:r>
      <w:r w:rsidR="0094625E">
        <w:t>response</w:t>
      </w:r>
      <w:r>
        <w:t xml:space="preserve"> that you have indeed conducted research. The alternative is to leave the in-situ referencing out and let the reader find the links when they read the bibliography section</w:t>
      </w:r>
      <w:r w:rsidR="0094625E">
        <w:t xml:space="preserve"> at the end</w:t>
      </w:r>
      <w:r>
        <w:t xml:space="preserve">. This </w:t>
      </w:r>
      <w:r w:rsidR="0094625E">
        <w:t xml:space="preserve">isn’t an effective approach as </w:t>
      </w:r>
      <w:r>
        <w:t xml:space="preserve">again places your responses into question and the accuracy of the assignment </w:t>
      </w:r>
      <w:r w:rsidR="00C77054">
        <w:t xml:space="preserve">is questioned. </w:t>
      </w:r>
    </w:p>
    <w:p w:rsidR="00B95253" w:rsidRPr="00C77054" w:rsidRDefault="00B95253" w:rsidP="00B95253">
      <w:pPr>
        <w:rPr>
          <w:b/>
        </w:rPr>
      </w:pPr>
      <w:r w:rsidRPr="00C77054">
        <w:rPr>
          <w:b/>
        </w:rPr>
        <w:t>Harvard Referencing examples</w:t>
      </w:r>
    </w:p>
    <w:p w:rsidR="00B95253" w:rsidRDefault="00B95253" w:rsidP="00B95253">
      <w:r>
        <w:t>Since the Second World War infrastructures within organisations have developed, with Personnel Department’s expanded responsibility becoming a catalyst for the creation of ‘Human Resource Departments’, with an increase in awareness to offer, effective development schemes at an organisational level within a competitive environment and which now utilises terms and phrases such as ‘Emerging markets’ and ‘Globalisation’ as part of a sustainable business model for future advantages (Rothwell et al, 2010).</w:t>
      </w:r>
    </w:p>
    <w:p w:rsidR="00B95253" w:rsidRDefault="00B95253" w:rsidP="00B95253">
      <w:r>
        <w:t>Furthermore, terminology changes that have been popularised since the nineties by authors such as Garrett (1987) and Senge (1990), may have added a different dimension to development focuses with the use of such terms as ‘Organisational Development’ and ‘Organisational Learning’, yet Mayo (2004) highlights that when an organisation implements an ‘Organisation Development plan’, people development invariably has to take place unless it is considered the training department simply provide training courses.</w:t>
      </w:r>
    </w:p>
    <w:p w:rsidR="00563CC6" w:rsidRDefault="00563CC6" w:rsidP="00B95253">
      <w:r>
        <w:rPr>
          <w:sz w:val="23"/>
          <w:szCs w:val="23"/>
        </w:rPr>
        <w:t>Published research results from the Learning and Talent Development Survey conducted by The Chartered Institute of Personnel and Development (CIPD) in April 2013, declared that only one in nine organisations expect an increase in learning and development funding from their organisation for the next twelve months. Additionally, the survey states that 40% of organisations from the public sector and 20% from the private sector and non-profit organisations are expecting a reduction in available funds to invest in development schemes (CIPD, 2013).</w:t>
      </w:r>
    </w:p>
    <w:p w:rsidR="00B95253" w:rsidRDefault="00B95253" w:rsidP="00B95253"/>
    <w:p w:rsidR="00B95253" w:rsidRDefault="00B95253" w:rsidP="00B95253">
      <w:r>
        <w:t>Bibliography</w:t>
      </w:r>
    </w:p>
    <w:p w:rsidR="009C7826" w:rsidRDefault="009C7826" w:rsidP="009C7826">
      <w:r>
        <w:rPr>
          <w:sz w:val="23"/>
          <w:szCs w:val="23"/>
        </w:rPr>
        <w:lastRenderedPageBreak/>
        <w:t xml:space="preserve">Chartered Institute of Personnel and Development (CIPD). </w:t>
      </w:r>
      <w:r>
        <w:rPr>
          <w:i/>
          <w:iCs/>
          <w:sz w:val="23"/>
          <w:szCs w:val="23"/>
        </w:rPr>
        <w:t xml:space="preserve">Annual survey report 2013 </w:t>
      </w:r>
      <w:r>
        <w:rPr>
          <w:sz w:val="23"/>
          <w:szCs w:val="23"/>
        </w:rPr>
        <w:t>[Online] Available from: http://www.cipd.co.uk/hr-resources/survey-reports/learning-talent-development-2013.aspx [Accessed: 23rd June 2013].</w:t>
      </w:r>
      <w:bookmarkStart w:id="0" w:name="_GoBack"/>
      <w:bookmarkEnd w:id="0"/>
    </w:p>
    <w:p w:rsidR="00B95253" w:rsidRDefault="00B95253" w:rsidP="00B95253">
      <w:r>
        <w:t>Garret, B. (1987) The Learning Organization and the need for directors who think. London, UK: Fontana Paperbacks.</w:t>
      </w:r>
    </w:p>
    <w:p w:rsidR="00B95253" w:rsidRDefault="00B95253" w:rsidP="00B95253">
      <w:r>
        <w:t>Mayo, A. (2004) Creating a Learning and Development Strategy. The HR Business Partner’s Guide to Developing People. 2nd edition. UK: Chartered Institute of Personnel and Development.</w:t>
      </w:r>
    </w:p>
    <w:p w:rsidR="00B95253" w:rsidRDefault="00B95253" w:rsidP="00B95253">
      <w:r>
        <w:t>Rothwell, W, Prescott, R &amp; Taylor, M. (2010) Resource Transformation: Demonstrating Strategic Leadership in the Face of Future Trends. Yarmouth, ME, USA: Nicholas Brealey Publishing.</w:t>
      </w:r>
    </w:p>
    <w:p w:rsidR="00563CC6" w:rsidRDefault="00B95253" w:rsidP="00563CC6">
      <w:pPr>
        <w:rPr>
          <w:sz w:val="23"/>
          <w:szCs w:val="23"/>
        </w:rPr>
      </w:pPr>
      <w:r>
        <w:t>Senge, P (1990). The Fifth Discipline. The Art &amp; Practice of The Learning Organisation. USA: Doubleday.</w:t>
      </w:r>
      <w:r w:rsidR="00563CC6" w:rsidRPr="00563CC6">
        <w:rPr>
          <w:sz w:val="23"/>
          <w:szCs w:val="23"/>
        </w:rPr>
        <w:t xml:space="preserve"> </w:t>
      </w:r>
    </w:p>
    <w:p w:rsidR="00537705" w:rsidRDefault="00A102EF" w:rsidP="00B95253"/>
    <w:sectPr w:rsidR="005377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253"/>
    <w:rsid w:val="001546F1"/>
    <w:rsid w:val="001D5C9E"/>
    <w:rsid w:val="00393711"/>
    <w:rsid w:val="00494FCA"/>
    <w:rsid w:val="00563CC6"/>
    <w:rsid w:val="008A26C8"/>
    <w:rsid w:val="0094625E"/>
    <w:rsid w:val="009C7826"/>
    <w:rsid w:val="00A102EF"/>
    <w:rsid w:val="00B95253"/>
    <w:rsid w:val="00C77054"/>
    <w:rsid w:val="00E324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744E"/>
  <w15:chartTrackingRefBased/>
  <w15:docId w15:val="{37A41041-14F2-4F52-BFDA-115F7B524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Stuart Rudd</dc:creator>
  <cp:keywords/>
  <dc:description/>
  <cp:lastModifiedBy>Stuart Rudd</cp:lastModifiedBy>
  <cp:revision>2</cp:revision>
  <dcterms:created xsi:type="dcterms:W3CDTF">2019-01-15T09:33:00Z</dcterms:created>
  <dcterms:modified xsi:type="dcterms:W3CDTF">2019-01-15T09:33:00Z</dcterms:modified>
</cp:coreProperties>
</file>